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813FA9" w14:textId="68213696" w:rsidR="00843EEC" w:rsidRPr="009B7EA7" w:rsidRDefault="00843EEC" w:rsidP="00843EEC">
      <w:pPr>
        <w:jc w:val="both"/>
        <w:rPr>
          <w:rFonts w:ascii="Arial" w:hAnsi="Arial" w:cs="Arial"/>
          <w:b/>
          <w:bCs/>
          <w:noProof/>
        </w:rPr>
      </w:pPr>
      <w:r w:rsidRPr="00F303E5">
        <w:rPr>
          <w:rFonts w:ascii="Arial" w:hAnsi="Arial" w:cs="Arial"/>
          <w:b/>
          <w:bCs/>
          <w:noProof/>
        </w:rPr>
        <w:t>Apoyo tecnico programa Colombia Solar</w:t>
      </w:r>
    </w:p>
    <w:p w14:paraId="70C4720F" w14:textId="77777777" w:rsidR="00F303E5" w:rsidRPr="00F303E5" w:rsidRDefault="00F303E5" w:rsidP="00F303E5">
      <w:pPr>
        <w:pStyle w:val="pdq2pgselectionanchorcontainer"/>
        <w:rPr>
          <w:rFonts w:ascii="Arial" w:hAnsi="Arial" w:cs="Arial"/>
        </w:rPr>
      </w:pPr>
      <w:r w:rsidRPr="00F303E5">
        <w:rPr>
          <w:rFonts w:ascii="Arial" w:hAnsi="Arial" w:cs="Arial"/>
        </w:rPr>
        <w:t>Durante el periodo reportado se apoyó la proyección y revisión de respuestas a solicitudes de información, requerimientos internos y demás comunicaciones relacionadas con el Programa Colombia Solar, de acuerdo con las actividades asignadas por el supervisor del contrato. Este apoyo comprendió la recopilación, validación, organización y consolidación de información técnica, comercial, socioeconómica y territorial necesaria para elaborar respuestas claras, consistentes y debidamente sustentadas.</w:t>
      </w:r>
    </w:p>
    <w:p w14:paraId="3B589665" w14:textId="77777777" w:rsidR="00F303E5" w:rsidRPr="00F303E5" w:rsidRDefault="00F303E5" w:rsidP="00F303E5">
      <w:pPr>
        <w:pStyle w:val="NormalWeb"/>
        <w:rPr>
          <w:rFonts w:ascii="Arial" w:hAnsi="Arial" w:cs="Arial"/>
        </w:rPr>
      </w:pPr>
      <w:r w:rsidRPr="00F303E5">
        <w:rPr>
          <w:rFonts w:ascii="Arial" w:hAnsi="Arial" w:cs="Arial"/>
        </w:rPr>
        <w:t>En particular, se apoyó la preparación de comunicaciones para solicitar a la Superintendencia de Servicios Públicos Domiciliarios información actualizada de los usuarios beneficiarios de subsidios de los departamentos de Putumayo, Meta, Norte de Santander, Huila y Guaviare, contenida en los formatos TC1, TC2 y TT2. Para ello, se revisaron y definieron las variables requeridas sobre identificación y localización de usuarios, códigos de conexión, circuitos, transformadores, medición, consumos, cartera, estrato socioeconómico, coordenadas e información predial. También se incorporó la variable ciudad o municipio para facilitar la clasificación territorial y la atención de las solicitudes presentadas por los ejecutores del Programa.</w:t>
      </w:r>
    </w:p>
    <w:p w14:paraId="508E7EBA" w14:textId="77777777" w:rsidR="00F303E5" w:rsidRPr="00F303E5" w:rsidRDefault="00F303E5" w:rsidP="00F303E5">
      <w:pPr>
        <w:pStyle w:val="NormalWeb"/>
        <w:rPr>
          <w:rFonts w:ascii="Arial" w:hAnsi="Arial" w:cs="Arial"/>
        </w:rPr>
      </w:pPr>
      <w:r w:rsidRPr="00F303E5">
        <w:rPr>
          <w:rFonts w:ascii="Arial" w:hAnsi="Arial" w:cs="Arial"/>
        </w:rPr>
        <w:t>Asimismo, se revisaron los resultados de la evaluación documental de 541 potenciales beneficiarios remitidos por GECELCA y clasificados en etapa de factibilidad. La información fue contrastada con la base de datos suministrada, verificando el número NIC, las variaciones de consumo, los consumos superiores a 250 kWh, la existencia de usuarios en mora y el cumplimiento de requisitos documentales, como la presencia de firmas. Los hallazgos se organizaron por estado, observación y descripción, proporcionando elementos para proyectar comunicaciones dirigidas a aclarar, corregir o complementar la información identificada.</w:t>
      </w:r>
    </w:p>
    <w:p w14:paraId="05A07DD7" w14:textId="77777777" w:rsidR="00F303E5" w:rsidRPr="00F303E5" w:rsidRDefault="00F303E5" w:rsidP="00F303E5">
      <w:pPr>
        <w:pStyle w:val="NormalWeb"/>
        <w:rPr>
          <w:rFonts w:ascii="Arial" w:hAnsi="Arial" w:cs="Arial"/>
        </w:rPr>
      </w:pPr>
      <w:r w:rsidRPr="00F303E5">
        <w:rPr>
          <w:rFonts w:ascii="Arial" w:hAnsi="Arial" w:cs="Arial"/>
        </w:rPr>
        <w:t>También se consolidó información sobre los operadores de red y comercializadores presentes en los departamentos priorizados, con el fin de orientar las respuestas y requerimientos relacionados con conexión, medición, legalización de usuarios y puesta en funcionamiento de sistemas fotovoltaicos. De igual manera, se emplearon los diagnósticos energéticos y socioeconómicos elaborados para Arauca y Casanare como soporte para atender consultas internas relacionadas con cobertura, continuidad, pérdidas de energía, vulnerabilidad social, focalización de beneficiarios y pertinencia de las soluciones de autogeneración solar.</w:t>
      </w:r>
    </w:p>
    <w:p w14:paraId="79085387" w14:textId="77777777" w:rsidR="00F303E5" w:rsidRDefault="00F303E5" w:rsidP="00F303E5">
      <w:pPr>
        <w:pStyle w:val="NormalWeb"/>
        <w:rPr>
          <w:rFonts w:ascii="Arial" w:hAnsi="Arial" w:cs="Arial"/>
        </w:rPr>
      </w:pPr>
      <w:r w:rsidRPr="00F303E5">
        <w:rPr>
          <w:rFonts w:ascii="Arial" w:hAnsi="Arial" w:cs="Arial"/>
        </w:rPr>
        <w:t xml:space="preserve">Este trabajo permitió fortalecer la calidad técnica y la trazabilidad de las comunicaciones del Programa Colombia Solar, verificando la coherencia de la información con los objetivos del Programa y los lineamientos de la transición energética justa. De esta manera, se contribuyó a que las solicitudes de información, requerimientos internos y demás comunicaciones asignadas por el </w:t>
      </w:r>
      <w:r w:rsidRPr="00F303E5">
        <w:rPr>
          <w:rFonts w:ascii="Arial" w:hAnsi="Arial" w:cs="Arial"/>
        </w:rPr>
        <w:lastRenderedPageBreak/>
        <w:t xml:space="preserve">supervisor fueran atendidas con información organizada, verificable y pertinente para la formulación, evaluación, </w:t>
      </w:r>
      <w:proofErr w:type="spellStart"/>
      <w:r w:rsidRPr="00F303E5">
        <w:rPr>
          <w:rFonts w:ascii="Arial" w:hAnsi="Arial" w:cs="Arial"/>
        </w:rPr>
        <w:t>viabilización</w:t>
      </w:r>
      <w:proofErr w:type="spellEnd"/>
      <w:r w:rsidRPr="00F303E5">
        <w:rPr>
          <w:rFonts w:ascii="Arial" w:hAnsi="Arial" w:cs="Arial"/>
        </w:rPr>
        <w:t>, implementación y seguimiento de los proyectos.</w:t>
      </w:r>
    </w:p>
    <w:p w14:paraId="4B68C147" w14:textId="77777777" w:rsidR="00F303E5" w:rsidRDefault="00F303E5" w:rsidP="00F303E5">
      <w:pPr>
        <w:pStyle w:val="NormalWeb"/>
        <w:rPr>
          <w:rFonts w:ascii="Arial" w:hAnsi="Arial" w:cs="Arial"/>
        </w:rPr>
      </w:pPr>
    </w:p>
    <w:p w14:paraId="7B599A9D" w14:textId="3BB731E3" w:rsidR="00F303E5" w:rsidRPr="00F303E5" w:rsidRDefault="009B7EA7" w:rsidP="00F303E5">
      <w:pPr>
        <w:pStyle w:val="NormalWeb"/>
        <w:rPr>
          <w:rFonts w:ascii="Arial" w:hAnsi="Arial" w:cs="Arial"/>
        </w:rPr>
      </w:pPr>
      <w:r w:rsidRPr="00B017FF">
        <w:rPr>
          <w:noProof/>
        </w:rPr>
        <w:drawing>
          <wp:inline distT="0" distB="0" distL="0" distR="0" wp14:anchorId="7E01B4AB" wp14:editId="5127B968">
            <wp:extent cx="5612130" cy="3155950"/>
            <wp:effectExtent l="0" t="0" r="7620" b="6350"/>
            <wp:docPr id="14074329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43290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9F24C" w14:textId="77777777" w:rsidR="00F303E5" w:rsidRPr="00F303E5" w:rsidRDefault="00F303E5" w:rsidP="00843EEC">
      <w:pPr>
        <w:jc w:val="both"/>
        <w:rPr>
          <w:rFonts w:ascii="Arial" w:hAnsi="Arial" w:cs="Arial"/>
          <w:noProof/>
        </w:rPr>
      </w:pPr>
    </w:p>
    <w:p w14:paraId="4647D87B" w14:textId="77777777" w:rsidR="00843EEC" w:rsidRPr="00F303E5" w:rsidRDefault="00843EEC" w:rsidP="00843EEC">
      <w:pPr>
        <w:jc w:val="both"/>
        <w:rPr>
          <w:rFonts w:ascii="Arial" w:hAnsi="Arial" w:cs="Arial"/>
          <w:noProof/>
          <w:vanish/>
        </w:rPr>
      </w:pPr>
      <w:r w:rsidRPr="00F303E5">
        <w:rPr>
          <w:rFonts w:ascii="Arial" w:hAnsi="Arial" w:cs="Arial"/>
          <w:noProof/>
          <w:vanish/>
        </w:rPr>
        <w:t>Principio del formulario</w:t>
      </w:r>
    </w:p>
    <w:p w14:paraId="4D48C145" w14:textId="77777777" w:rsidR="00843EEC" w:rsidRPr="00F303E5" w:rsidRDefault="00843EEC" w:rsidP="00843EEC">
      <w:pPr>
        <w:jc w:val="both"/>
        <w:rPr>
          <w:rFonts w:ascii="Arial" w:hAnsi="Arial" w:cs="Arial"/>
          <w:noProof/>
        </w:rPr>
      </w:pPr>
    </w:p>
    <w:p w14:paraId="7B2B650E" w14:textId="77777777" w:rsidR="00843EEC" w:rsidRPr="00F303E5" w:rsidRDefault="00843EEC" w:rsidP="00843EEC">
      <w:pPr>
        <w:jc w:val="both"/>
        <w:rPr>
          <w:rFonts w:ascii="Arial" w:hAnsi="Arial" w:cs="Arial"/>
          <w:noProof/>
          <w:vanish/>
        </w:rPr>
      </w:pPr>
      <w:r w:rsidRPr="00F303E5">
        <w:rPr>
          <w:rFonts w:ascii="Arial" w:hAnsi="Arial" w:cs="Arial"/>
          <w:noProof/>
          <w:vanish/>
        </w:rPr>
        <w:t>Final del formulario</w:t>
      </w:r>
    </w:p>
    <w:p w14:paraId="1D839FC9" w14:textId="77777777" w:rsidR="00843EEC" w:rsidRPr="00F303E5" w:rsidRDefault="00843EEC" w:rsidP="00796B6E">
      <w:pPr>
        <w:jc w:val="both"/>
        <w:rPr>
          <w:rFonts w:ascii="Arial" w:hAnsi="Arial" w:cs="Arial"/>
          <w:noProof/>
        </w:rPr>
      </w:pPr>
    </w:p>
    <w:p w14:paraId="537482AE" w14:textId="77777777" w:rsidR="00843EEC" w:rsidRPr="00F303E5" w:rsidRDefault="00843EEC" w:rsidP="00796B6E">
      <w:pPr>
        <w:jc w:val="both"/>
        <w:rPr>
          <w:rFonts w:ascii="Arial" w:hAnsi="Arial" w:cs="Arial"/>
          <w:noProof/>
        </w:rPr>
      </w:pPr>
    </w:p>
    <w:p w14:paraId="1F7770BD" w14:textId="553CCEEA" w:rsidR="002B0121" w:rsidRPr="00F303E5" w:rsidRDefault="002B0121" w:rsidP="00796B6E">
      <w:pPr>
        <w:jc w:val="both"/>
        <w:rPr>
          <w:rFonts w:ascii="Arial" w:hAnsi="Arial" w:cs="Arial"/>
        </w:rPr>
      </w:pPr>
    </w:p>
    <w:sectPr w:rsidR="002B0121" w:rsidRPr="00F303E5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ED6750"/>
    <w:multiLevelType w:val="multilevel"/>
    <w:tmpl w:val="59080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6006488"/>
    <w:multiLevelType w:val="multilevel"/>
    <w:tmpl w:val="1A4C1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3AC5ADF"/>
    <w:multiLevelType w:val="multilevel"/>
    <w:tmpl w:val="D9B81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91C776A"/>
    <w:multiLevelType w:val="hybridMultilevel"/>
    <w:tmpl w:val="DDF2122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1068078">
    <w:abstractNumId w:val="0"/>
  </w:num>
  <w:num w:numId="2" w16cid:durableId="644050646">
    <w:abstractNumId w:val="1"/>
  </w:num>
  <w:num w:numId="3" w16cid:durableId="1654865980">
    <w:abstractNumId w:val="3"/>
  </w:num>
  <w:num w:numId="4" w16cid:durableId="117881442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6E3B"/>
    <w:rsid w:val="00012722"/>
    <w:rsid w:val="00027312"/>
    <w:rsid w:val="00064267"/>
    <w:rsid w:val="000671F6"/>
    <w:rsid w:val="0012446E"/>
    <w:rsid w:val="00151D64"/>
    <w:rsid w:val="001D4300"/>
    <w:rsid w:val="002B0121"/>
    <w:rsid w:val="003177D2"/>
    <w:rsid w:val="00357B0F"/>
    <w:rsid w:val="00576E3B"/>
    <w:rsid w:val="005B6C82"/>
    <w:rsid w:val="006024FA"/>
    <w:rsid w:val="00623257"/>
    <w:rsid w:val="006A3C7B"/>
    <w:rsid w:val="007149F0"/>
    <w:rsid w:val="00796B6E"/>
    <w:rsid w:val="00843EEC"/>
    <w:rsid w:val="0092317A"/>
    <w:rsid w:val="009B7EA7"/>
    <w:rsid w:val="009F1ABE"/>
    <w:rsid w:val="009F26AE"/>
    <w:rsid w:val="00A2799C"/>
    <w:rsid w:val="00B37431"/>
    <w:rsid w:val="00BE6388"/>
    <w:rsid w:val="00CC30CF"/>
    <w:rsid w:val="00D8096F"/>
    <w:rsid w:val="00DD051A"/>
    <w:rsid w:val="00E01314"/>
    <w:rsid w:val="00EE301D"/>
    <w:rsid w:val="00F303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674112"/>
  <w15:chartTrackingRefBased/>
  <w15:docId w15:val="{55C7BEF7-E13B-4FC0-B6D7-8F02FE282E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76E3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76E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76E3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76E3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76E3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76E3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76E3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76E3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76E3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76E3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76E3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76E3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76E3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76E3B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76E3B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76E3B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76E3B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76E3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76E3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76E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76E3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76E3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76E3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76E3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76E3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76E3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76E3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76E3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76E3B"/>
    <w:rPr>
      <w:b/>
      <w:bCs/>
      <w:smallCaps/>
      <w:color w:val="0F4761" w:themeColor="accent1" w:themeShade="BF"/>
      <w:spacing w:val="5"/>
    </w:rPr>
  </w:style>
  <w:style w:type="paragraph" w:customStyle="1" w:styleId="pdq2pgselectionanchorcontainer">
    <w:name w:val="pdq2pg_selectionanchorcontainer"/>
    <w:basedOn w:val="Normal"/>
    <w:rsid w:val="00F303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s-CO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F303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</Pages>
  <Words>412</Words>
  <Characters>2724</Characters>
  <Application>Microsoft Office Word</Application>
  <DocSecurity>0</DocSecurity>
  <Lines>454</Lines>
  <Paragraphs>92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M Arana A</dc:creator>
  <cp:keywords/>
  <dc:description/>
  <cp:lastModifiedBy>Juan M. Arana Aguas</cp:lastModifiedBy>
  <cp:revision>26</cp:revision>
  <cp:lastPrinted>2026-04-10T05:12:00Z</cp:lastPrinted>
  <dcterms:created xsi:type="dcterms:W3CDTF">2026-03-13T17:53:00Z</dcterms:created>
  <dcterms:modified xsi:type="dcterms:W3CDTF">2026-08-05T14:26:00Z</dcterms:modified>
</cp:coreProperties>
</file>